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B7" w:rsidRPr="005032B7" w:rsidRDefault="005032B7" w:rsidP="005C4ECE">
      <w:pPr>
        <w:pStyle w:val="af"/>
      </w:pPr>
      <w:bookmarkStart w:id="0" w:name="_GoBack"/>
      <w:bookmarkEnd w:id="0"/>
      <w:r w:rsidRPr="005032B7">
        <w:t>Утверждены</w:t>
      </w:r>
    </w:p>
    <w:p w:rsid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сельского поселения</w:t>
      </w:r>
    </w:p>
    <w:p w:rsidR="002736D2" w:rsidRPr="005032B7" w:rsidRDefault="002736D2" w:rsidP="00B74705">
      <w:pPr>
        <w:jc w:val="right"/>
        <w:rPr>
          <w:rFonts w:ascii="Times New Roman" w:hAnsi="Times New Roman" w:cs="Times New Roman"/>
        </w:rPr>
      </w:pPr>
      <w:r>
        <w:rPr>
          <w:rFonts w:ascii="Times New Roman" w:hAnsi="Times New Roman" w:cs="Times New Roman"/>
        </w:rPr>
        <w:t>Мукасовский сельсовет МР Баймакский район</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2736D2" w:rsidRPr="005032B7">
        <w:rPr>
          <w:rFonts w:ascii="Times New Roman" w:hAnsi="Times New Roman" w:cs="Times New Roman"/>
        </w:rPr>
        <w:t>О</w:t>
      </w:r>
      <w:r w:rsidRPr="005032B7">
        <w:rPr>
          <w:rFonts w:ascii="Times New Roman" w:hAnsi="Times New Roman" w:cs="Times New Roman"/>
        </w:rPr>
        <w:t>т</w:t>
      </w:r>
      <w:r w:rsidR="002736D2">
        <w:rPr>
          <w:rFonts w:ascii="Times New Roman" w:hAnsi="Times New Roman" w:cs="Times New Roman"/>
        </w:rPr>
        <w:t xml:space="preserve"> 23.12.2015 № 29 </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2736D2"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736D2"/>
    <w:rsid w:val="002D062D"/>
    <w:rsid w:val="002F6AE8"/>
    <w:rsid w:val="003255AC"/>
    <w:rsid w:val="003866D4"/>
    <w:rsid w:val="003950F8"/>
    <w:rsid w:val="003C3F3D"/>
    <w:rsid w:val="003C69BD"/>
    <w:rsid w:val="004150DF"/>
    <w:rsid w:val="004307A9"/>
    <w:rsid w:val="0044223E"/>
    <w:rsid w:val="004553B9"/>
    <w:rsid w:val="004609EB"/>
    <w:rsid w:val="00462597"/>
    <w:rsid w:val="0046503F"/>
    <w:rsid w:val="005032B7"/>
    <w:rsid w:val="00532F62"/>
    <w:rsid w:val="0055460F"/>
    <w:rsid w:val="005C4ECE"/>
    <w:rsid w:val="005E0C88"/>
    <w:rsid w:val="00601251"/>
    <w:rsid w:val="00607368"/>
    <w:rsid w:val="00621582"/>
    <w:rsid w:val="006251D0"/>
    <w:rsid w:val="006D3B6E"/>
    <w:rsid w:val="007B4A0A"/>
    <w:rsid w:val="007B7A49"/>
    <w:rsid w:val="007C468D"/>
    <w:rsid w:val="007F2D32"/>
    <w:rsid w:val="00884C5D"/>
    <w:rsid w:val="009427B1"/>
    <w:rsid w:val="009435E2"/>
    <w:rsid w:val="009729E7"/>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No Spacing"/>
    <w:uiPriority w:val="1"/>
    <w:qFormat/>
    <w:rsid w:val="005C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177DA-3E20-437D-A342-987A1F68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82035</Words>
  <Characters>467605</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Mukas</cp:lastModifiedBy>
  <cp:revision>6</cp:revision>
  <dcterms:created xsi:type="dcterms:W3CDTF">2015-08-02T08:17:00Z</dcterms:created>
  <dcterms:modified xsi:type="dcterms:W3CDTF">2015-12-25T04:13:00Z</dcterms:modified>
</cp:coreProperties>
</file>